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9648"/>
            <w:shd w:fill="275D67"/>
            <w:tcMar>
              <w:top w:w="220" w:type="dxa"/>
              <w:start w:w="250" w:type="dxa"/>
              <w:bottom w:w="220" w:type="dxa"/>
              <w:end w:w="25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42"/>
              </w:rPr>
              <w:t>Willow Park School Coding Crib Sheet</w:t>
            </w:r>
          </w:p>
          <w:p>
            <w:pPr>
              <w:jc w:val="center"/>
            </w:pPr>
            <w:r>
              <w:rPr>
                <w:rFonts w:ascii="Arial" w:hAnsi="Arial"/>
                <w:color w:val="EAF3F4"/>
                <w:sz w:val="21"/>
              </w:rPr>
              <w:t>A simple guide to attendance codes for parents and carers</w:t>
            </w:r>
          </w:p>
        </w:tc>
      </w:tr>
    </w:tbl>
    <w:p>
      <w:pPr>
        <w:spacing w:after="0"/>
      </w:pPr>
    </w:p>
    <w:p>
      <w:pPr>
        <w:spacing w:after="140"/>
      </w:pPr>
      <w:r>
        <w:rPr>
          <w:rFonts w:ascii="Arial" w:hAnsi="Arial"/>
          <w:color w:val="333333"/>
          <w:sz w:val="20"/>
        </w:rPr>
        <w:t>Attendance codes explain why a pupil is present or absent. Some authorised absences still reduce the attendance percentage, while other codes do not count as an absence.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9648"/>
            <w:shd w:fill="FFF4D6"/>
            <w:tcBorders>
              <w:top w:val="single" w:sz="10" w:color="E1B84B"/>
              <w:left w:val="single" w:sz="10" w:color="E1B84B"/>
              <w:bottom w:val="single" w:sz="10" w:color="E1B84B"/>
              <w:right w:val="single" w:sz="10" w:color="E1B84B"/>
            </w:tcBorders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7A5600"/>
                <w:sz w:val="22"/>
              </w:rPr>
              <w:t>The key point</w:t>
            </w:r>
          </w:p>
          <w:p>
            <w:pPr>
              <w:spacing w:after="0"/>
            </w:pPr>
            <w:r>
              <w:rPr>
                <w:rFonts w:ascii="Arial" w:hAnsi="Arial"/>
                <w:color w:val="333333"/>
                <w:sz w:val="19"/>
              </w:rPr>
              <w:t>An absence can be authorised and still lower attendance. The code records the reason for absence, but it does not always remove the missed session from the calculation.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9648"/>
            <w:shd w:fill="B34F5A"/>
            <w:tcMar>
              <w:top w:w="105" w:type="dxa"/>
              <w:start w:w="160" w:type="dxa"/>
              <w:bottom w:w="105" w:type="dxa"/>
              <w:end w:w="160" w:type="dxa"/>
            </w:tcMar>
          </w:tcPr>
          <w:p>
            <w:pPr>
              <w:jc w:val="left"/>
            </w:pPr>
            <w:r>
              <w:rPr>
                <w:rFonts w:ascii="Arial" w:hAnsi="Arial"/>
                <w:b/>
                <w:color w:val="FFFFFF"/>
                <w:sz w:val="26"/>
              </w:rPr>
              <w:t>Codes that reduce the attendance percentage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rPr>
          <w:tblHeader w:val="true"/>
        </w:trPr>
        <w:tc>
          <w:tcPr>
            <w:tcW w:type="dxa" w:w="1152"/>
            <w:shd w:fill="8F3B45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Code</w:t>
            </w:r>
          </w:p>
        </w:tc>
        <w:tc>
          <w:tcPr>
            <w:tcW w:type="dxa" w:w="6048"/>
            <w:shd w:fill="8F3B45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jc w:val="left"/>
            </w:pPr>
            <w:r>
              <w:rPr>
                <w:rFonts w:ascii="Arial" w:hAnsi="Arial"/>
                <w:b/>
                <w:color w:val="FFFFFF"/>
                <w:sz w:val="19"/>
              </w:rPr>
              <w:t>What it means</w:t>
            </w:r>
          </w:p>
        </w:tc>
        <w:tc>
          <w:tcPr>
            <w:tcW w:type="dxa" w:w="2448"/>
            <w:shd w:fill="8F3B45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Effect on attendance %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C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Authorised absence or exceptional circumstances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I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Illness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M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Medical or dental appointment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Usually reduces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R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Religious observance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S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Study leave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T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Traveller absence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H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Family holiday authorised by the school (rare)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E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Excluded or suspended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J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Interview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G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Family holiday not authorised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O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Unauthorised absence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U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Late after the register has closed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N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No reason for absence provided yet</w:t>
            </w:r>
          </w:p>
        </w:tc>
        <w:tc>
          <w:tcPr>
            <w:tcW w:type="dxa" w:w="2448"/>
            <w:shd w:fill="F8DFE2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Reduces it</w:t>
            </w:r>
          </w:p>
        </w:tc>
      </w:tr>
    </w:tbl>
    <w:p>
      <w:pPr>
        <w:spacing w:before="80" w:after="0"/>
      </w:pPr>
      <w:r>
        <w:rPr>
          <w:rFonts w:ascii="Arial" w:hAnsi="Arial"/>
          <w:color w:val="5A5A5A"/>
          <w:sz w:val="17"/>
        </w:rPr>
        <w:t>Please note: medical appointments may affect only part of a school session, depending on the timing and coding used.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9648"/>
            <w:shd w:fill="275D67"/>
            <w:tcMar>
              <w:top w:w="220" w:type="dxa"/>
              <w:start w:w="250" w:type="dxa"/>
              <w:bottom w:w="220" w:type="dxa"/>
              <w:end w:w="25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42"/>
              </w:rPr>
              <w:t>Willow Park School Coding Crib Sheet</w:t>
            </w:r>
          </w:p>
          <w:p>
            <w:pPr>
              <w:jc w:val="center"/>
            </w:pPr>
            <w:r>
              <w:rPr>
                <w:rFonts w:ascii="Arial" w:hAnsi="Arial"/>
                <w:color w:val="EAF3F4"/>
                <w:sz w:val="21"/>
              </w:rPr>
              <w:t>A simple guide to attendance codes for parents and carers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9648"/>
            <w:shd w:fill="4F7B58"/>
            <w:tcMar>
              <w:top w:w="105" w:type="dxa"/>
              <w:start w:w="160" w:type="dxa"/>
              <w:bottom w:w="105" w:type="dxa"/>
              <w:end w:w="160" w:type="dxa"/>
            </w:tcMar>
          </w:tcPr>
          <w:p>
            <w:pPr>
              <w:jc w:val="left"/>
            </w:pPr>
            <w:r>
              <w:rPr>
                <w:rFonts w:ascii="Arial" w:hAnsi="Arial"/>
                <w:b/>
                <w:color w:val="FFFFFF"/>
                <w:sz w:val="26"/>
              </w:rPr>
              <w:t>Codes that usually do not reduce the attendance percentage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rPr>
          <w:tblHeader w:val="true"/>
        </w:trPr>
        <w:tc>
          <w:tcPr>
            <w:tcW w:type="dxa" w:w="1152"/>
            <w:shd w:fill="3F6847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Code</w:t>
            </w:r>
          </w:p>
        </w:tc>
        <w:tc>
          <w:tcPr>
            <w:tcW w:type="dxa" w:w="6048"/>
            <w:shd w:fill="3F6847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jc w:val="left"/>
            </w:pPr>
            <w:r>
              <w:rPr>
                <w:rFonts w:ascii="Arial" w:hAnsi="Arial"/>
                <w:b/>
                <w:color w:val="FFFFFF"/>
                <w:sz w:val="19"/>
              </w:rPr>
              <w:t>What it means</w:t>
            </w:r>
          </w:p>
        </w:tc>
        <w:tc>
          <w:tcPr>
            <w:tcW w:type="dxa" w:w="2448"/>
            <w:shd w:fill="3F6847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>Effect on attendance %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/ or \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Present for the morning or afternoon session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Does not reduce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L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Late, but arrived before the register closed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Does not reduce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B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Educated off site or taking part in an approved activity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Does not reduce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D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Dual registered at another school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Usually does not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V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Educational visit or trip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Does not reduce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P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Sporting activity approved by the school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Does not reduce it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W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Work experience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Does not reduce it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X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Non compulsory school age session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Usually does not</w:t>
            </w:r>
          </w:p>
        </w:tc>
      </w:tr>
      <w:tr>
        <w:tc>
          <w:tcPr>
            <w:tcW w:type="dxa" w:w="1152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Y</w:t>
            </w:r>
          </w:p>
        </w:tc>
        <w:tc>
          <w:tcPr>
            <w:tcW w:type="dxa" w:w="6048"/>
            <w:shd w:fill="FFFFFF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Unable to attend because of exceptional circumstances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Usually does not</w:t>
            </w:r>
          </w:p>
        </w:tc>
      </w:tr>
      <w:tr>
        <w:tc>
          <w:tcPr>
            <w:tcW w:type="dxa" w:w="1152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275D67"/>
                <w:sz w:val="20"/>
              </w:rPr>
              <w:t>#</w:t>
            </w:r>
          </w:p>
        </w:tc>
        <w:tc>
          <w:tcPr>
            <w:tcW w:type="dxa" w:w="6048"/>
            <w:shd w:fill="F5F7F8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r>
              <w:rPr>
                <w:rFonts w:ascii="Arial" w:hAnsi="Arial"/>
                <w:color w:val="222222"/>
                <w:sz w:val="18"/>
              </w:rPr>
              <w:t>Planned whole or partial school closure</w:t>
            </w:r>
          </w:p>
        </w:tc>
        <w:tc>
          <w:tcPr>
            <w:tcW w:type="dxa" w:w="2448"/>
            <w:shd w:fill="E5F2E7"/>
            <w:tcMar>
              <w:top w:w="72" w:type="dxa"/>
              <w:start w:w="90" w:type="dxa"/>
              <w:bottom w:w="72" w:type="dxa"/>
              <w:end w:w="90" w:type="dxa"/>
            </w:tcMar>
            <w:tcBorders>
              <w:top w:val="single" w:sz="4" w:color="D7DEE2"/>
              <w:left w:val="single" w:sz="4" w:color="D7DEE2"/>
              <w:bottom w:val="single" w:sz="4" w:color="D7DEE2"/>
              <w:right w:val="single" w:sz="4" w:color="D7DEE2"/>
            </w:tcBorders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color w:val="333333"/>
                <w:sz w:val="17"/>
              </w:rPr>
              <w:t>Does not reduce it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9648"/>
            <w:shd w:fill="275D67"/>
            <w:tcMar>
              <w:top w:w="105" w:type="dxa"/>
              <w:start w:w="160" w:type="dxa"/>
              <w:bottom w:w="105" w:type="dxa"/>
              <w:end w:w="160" w:type="dxa"/>
            </w:tcMar>
          </w:tcPr>
          <w:p>
            <w:pPr>
              <w:jc w:val="left"/>
            </w:pPr>
            <w:r>
              <w:rPr>
                <w:rFonts w:ascii="Arial" w:hAnsi="Arial"/>
                <w:b/>
                <w:color w:val="FFFFFF"/>
                <w:sz w:val="26"/>
              </w:rPr>
              <w:t>How the percentage is worked out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4680"/>
            <w:shd w:fill="EEF5F6"/>
            <w:tcBorders>
              <w:top w:val="single" w:sz="8" w:color="9CBFC4"/>
              <w:left w:val="single" w:sz="8" w:color="9CBFC4"/>
              <w:bottom w:val="single" w:sz="8" w:color="9CBFC4"/>
              <w:right w:val="single" w:sz="8" w:color="9CBFC4"/>
            </w:tcBorders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pPr>
              <w:spacing w:after="100"/>
            </w:pPr>
            <w:r>
              <w:rPr>
                <w:rFonts w:ascii="Arial" w:hAnsi="Arial"/>
                <w:b/>
                <w:color w:val="275D67"/>
                <w:sz w:val="21"/>
              </w:rPr>
              <w:t>Why a C code still affects attendance</w:t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  <w:t>Example: 100 possible sessions, 90 attended and 10 coded C.</w:t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  <w:t>Attendance is 90 ÷ 100 = 90%.</w:t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  <w:t>The absence is authorised, but the pupil was still not in school.</w:t>
            </w:r>
          </w:p>
        </w:tc>
        <w:tc>
          <w:tcPr>
            <w:tcW w:type="dxa" w:w="4680"/>
            <w:shd w:fill="F1F7EE"/>
            <w:tcBorders>
              <w:top w:val="single" w:sz="8" w:color="A8C6A3"/>
              <w:left w:val="single" w:sz="8" w:color="A8C6A3"/>
              <w:bottom w:val="single" w:sz="8" w:color="A8C6A3"/>
              <w:right w:val="single" w:sz="8" w:color="A8C6A3"/>
            </w:tcBorders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pPr>
              <w:spacing w:after="100"/>
            </w:pPr>
            <w:r>
              <w:rPr>
                <w:rFonts w:ascii="Arial" w:hAnsi="Arial"/>
                <w:b/>
                <w:color w:val="275D67"/>
                <w:sz w:val="21"/>
              </w:rPr>
              <w:t>When a session may be removed</w:t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  <w:t>Some X or Y codes may remove the session from the calculation.</w:t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  <w:t>Example: 90 attended and 10 sessions coded Y.</w:t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</w:r>
          </w:p>
          <w:p>
            <w:pPr>
              <w:spacing w:after="40"/>
            </w:pPr>
            <w:r>
              <w:rPr>
                <w:rFonts w:ascii="Arial" w:hAnsi="Arial"/>
                <w:color w:val="333333"/>
                <w:sz w:val="17"/>
              </w:rPr>
              <w:t>Attendance may be 90 ÷ 90 = 100% because those sessions are not counted as possible sessions.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12"/>
      </w:tblGrid>
      <w:tr>
        <w:tc>
          <w:tcPr>
            <w:tcW w:type="dxa" w:w="9648"/>
            <w:shd w:fill="FDE9E7"/>
            <w:tcBorders>
              <w:top w:val="single" w:sz="10" w:color="D88980"/>
              <w:left w:val="single" w:sz="10" w:color="D88980"/>
              <w:bottom w:val="single" w:sz="10" w:color="D88980"/>
              <w:right w:val="single" w:sz="10" w:color="D88980"/>
            </w:tcBorders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7A2F2A"/>
                <w:sz w:val="22"/>
              </w:rPr>
              <w:t>Persistent absence</w:t>
            </w:r>
          </w:p>
          <w:p>
            <w:pPr>
              <w:spacing w:after="0"/>
            </w:pPr>
            <w:r>
              <w:rPr>
                <w:rFonts w:ascii="Arial" w:hAnsi="Arial"/>
                <w:color w:val="333333"/>
                <w:sz w:val="19"/>
              </w:rPr>
              <w:t>In England, a pupil is generally considered persistently absent when attendance falls below 90%. Authorised absences can still contribute to this threshold. Please contact Willow Park School if you would like us to explain any code used on your child’s attendance record.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648" w:right="864" w:bottom="691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</w:pPr>
    <w:r>
      <w:rPr>
        <w:rFonts w:ascii="Arial" w:hAnsi="Arial"/>
        <w:color w:val="65777B"/>
        <w:sz w:val="17"/>
      </w:rPr>
      <w:t>Willow Park School  |  Parent and Carer Guide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/>
    </w:pPr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Park School Coding Crib Sheet</dc:title>
  <dc:subject>Parent and carer guide to school attendance codes</dc:subject>
  <dc:creator>Willow Park School</dc:creator>
  <cp:keywords>attendance, coding, parents, carers, Willow Park School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